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“新形势下建筑业法务工作机遇与挑战”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主题征文比赛评选结果公示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金华市建筑业行业协会《关于举办“新形势下建筑业法务工作机遇与挑战”主题征文比赛的通知》（金市建协【2024】6号）要求，经会员单位申报，金华市律师协会建设工程专业委员会初审，金华市建筑业行业协会组织专家评审、复核，最终评出一等奖2篇，二等奖6篇，三等奖9篇，优秀奖4篇。现将评选结果予以公示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示时间：2024年7月25日—2024年7月31日；公示期间，如对评选结果有异议，可实名反映至金华市律师协会建设工程专业委员会，电话：13806781952。以单位名义反映的应加盖公章，以个人名义反映的应署名并留下联系方式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附件：《“新形势下建筑业法务工作机遇与挑战”主题征文比赛评选结果公示》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金华市建筑业行业协会</w:t>
      </w:r>
    </w:p>
    <w:p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2024年7月25日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hd w:val="clear" w:color="auto" w:fill="FFFFFF"/>
        <w:spacing w:line="560" w:lineRule="exact"/>
        <w:contextualSpacing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“新形势下建筑业法务工作机遇与挑战”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主题征文比赛评选结果</w:t>
      </w:r>
    </w:p>
    <w:p>
      <w:pPr>
        <w:shd w:val="clear" w:color="auto" w:fill="FFFFFF"/>
        <w:spacing w:line="560" w:lineRule="exact"/>
        <w:ind w:firstLine="562" w:firstLineChars="200"/>
        <w:contextualSpacing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一等奖：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《工程质量保证金优先受偿权行使期限起算点研究》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 xml:space="preserve">  （作者：陈斌  杨杨  何玮）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《合同定性视角下的建设工程施工合同纠纷管辖问题再探》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 xml:space="preserve"> （作者：  王画）</w:t>
      </w:r>
    </w:p>
    <w:p>
      <w:pPr>
        <w:shd w:val="clear" w:color="auto" w:fill="FFFFFF"/>
        <w:spacing w:line="560" w:lineRule="exact"/>
        <w:ind w:firstLine="562" w:firstLineChars="200"/>
        <w:contextualSpacing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二等奖：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《承包人破产情形下实际施工人能否直接向发包人主张权利》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 xml:space="preserve">   （作者：  何国通  戴永密）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《把握竣工备案流程的措施》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（作者：胡海泉  周小琴 张晓芳）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《依法追究不良企业股东责任的途径》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（作者：朱靖洁  吴丽红）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《涉外建设工程法律纠纷的风险及应对》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（作者：郭涛  倪艺格）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《“新基建”热点问题研究》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（作者：朱珩源  朱靖洁）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《对改善金华市建筑业营商环境的建议》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（作者李烨樱子  余建平）</w:t>
      </w:r>
    </w:p>
    <w:p>
      <w:pPr>
        <w:shd w:val="clear" w:color="auto" w:fill="FFFFFF"/>
        <w:spacing w:line="560" w:lineRule="exact"/>
        <w:ind w:firstLine="562" w:firstLineChars="200"/>
        <w:contextualSpacing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三等奖：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《合法分包方能否直接向发包人主张权利的探讨》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（作者：何国通  戴永密）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《积极应对市场低迷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以高质量法务工作助力建筑业高质量发展》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（作者吴恬雨）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《建筑企业表见代理法律风险防范与规制》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（作者：朱方磊  朱靖洁）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《对项目停工后的若干问题思考》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（作者：朱靖洁  王文晖）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《项目经理私刻印章的法律防范及应对》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（作者：李烨樱子  余建平）</w:t>
      </w:r>
      <w:bookmarkStart w:id="2" w:name="_GoBack"/>
      <w:bookmarkEnd w:id="2"/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《涉外建设工程的风险及应对措施》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（作者：徐刚）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《新〈公司法〉实施对建设工程领域的影响探究》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（作者：吴丽红）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《建筑企业表见代理法律风险防范与规制》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（作者：陈嫣红）</w:t>
      </w:r>
    </w:p>
    <w:p>
      <w:pPr>
        <w:shd w:val="clear" w:color="auto" w:fill="FFFFFF"/>
        <w:spacing w:line="560" w:lineRule="exact"/>
        <w:ind w:firstLine="562" w:firstLineChars="200"/>
        <w:contextualSpacing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优秀奖：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《“新基建”视野下的法律服务热点前瞻》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（作者：裘煌翔）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倪俊宇《房产商“暴雷”对建筑业的影响及应对》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（作者：倪俊宇）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《</w:t>
      </w:r>
      <w:bookmarkStart w:id="0" w:name="_Toc354490408"/>
      <w:r>
        <w:rPr>
          <w:rFonts w:hint="eastAsia" w:ascii="宋体" w:hAnsi="宋体" w:eastAsia="宋体" w:cs="宋体"/>
          <w:kern w:val="0"/>
          <w:sz w:val="28"/>
          <w:szCs w:val="28"/>
        </w:rPr>
        <w:t>对建设工程项目全过程专业法律服务的思考</w:t>
      </w:r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》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（作者：杨夏辉  俞宜宸）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《</w:t>
      </w:r>
      <w:bookmarkStart w:id="1" w:name="_Toc629401625"/>
      <w:r>
        <w:rPr>
          <w:rFonts w:hint="eastAsia" w:ascii="宋体" w:hAnsi="宋体" w:eastAsia="宋体" w:cs="宋体"/>
          <w:kern w:val="0"/>
          <w:sz w:val="28"/>
          <w:szCs w:val="28"/>
        </w:rPr>
        <w:t>建筑企业内部承包人法律风险防范与规制</w:t>
      </w:r>
      <w:bookmarkEnd w:id="1"/>
      <w:r>
        <w:rPr>
          <w:rFonts w:hint="eastAsia" w:ascii="宋体" w:hAnsi="宋体" w:eastAsia="宋体" w:cs="宋体"/>
          <w:kern w:val="0"/>
          <w:sz w:val="28"/>
          <w:szCs w:val="28"/>
        </w:rPr>
        <w:t>》</w:t>
      </w:r>
    </w:p>
    <w:p>
      <w:pPr>
        <w:shd w:val="clear" w:color="auto" w:fill="FFFFFF"/>
        <w:spacing w:line="560" w:lineRule="exact"/>
        <w:ind w:firstLine="560" w:firstLineChars="200"/>
        <w:contextualSpacing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（作者：徐怀君  蒋玫苏）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OWVjYzAxMGIyMWE2ODBmMWE4OTgwMTllMTQ2NWUifQ=="/>
  </w:docVars>
  <w:rsids>
    <w:rsidRoot w:val="00000000"/>
    <w:rsid w:val="640C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985</Words>
  <Characters>1010</Characters>
  <Lines>0</Lines>
  <Paragraphs>0</Paragraphs>
  <TotalTime>0</TotalTime>
  <ScaleCrop>false</ScaleCrop>
  <LinksUpToDate>false</LinksUpToDate>
  <CharactersWithSpaces>1050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2024-07-25T10:49:00Z</dcterms:created>
  <dc:creator>Administrator</dc:creator>
  <cp:lastModifiedBy>Asus</cp:lastModifiedBy>
  <dcterms:modified xsi:type="dcterms:W3CDTF">2024-07-26T01:15:02Z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9589574665A240A9B6FFCB02388E9BA6_13</vt:lpwstr>
  </property>
</Properties>
</file>